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9BA9" w14:textId="77777777" w:rsidR="00722BF5" w:rsidRPr="005D41CA" w:rsidRDefault="00907A8A" w:rsidP="00722BF5">
      <w:pPr>
        <w:jc w:val="center"/>
        <w:rPr>
          <w:rFonts w:cs="Times New Roman"/>
          <w:szCs w:val="24"/>
        </w:rPr>
      </w:pPr>
      <w:r w:rsidRPr="005D41CA">
        <w:rPr>
          <w:rFonts w:cs="Times New Roman"/>
          <w:szCs w:val="24"/>
        </w:rPr>
        <w:t>SECTION 01</w:t>
      </w:r>
      <w:r w:rsidR="00760F73" w:rsidRPr="005D41CA">
        <w:rPr>
          <w:rFonts w:cs="Times New Roman"/>
          <w:szCs w:val="24"/>
        </w:rPr>
        <w:t>000</w:t>
      </w:r>
    </w:p>
    <w:p w14:paraId="5E042487" w14:textId="3EA1006C" w:rsidR="00760F73" w:rsidRPr="005D41CA" w:rsidRDefault="00760F73" w:rsidP="005F7F9E">
      <w:pPr>
        <w:jc w:val="center"/>
        <w:rPr>
          <w:rFonts w:cs="Times New Roman"/>
          <w:szCs w:val="24"/>
        </w:rPr>
      </w:pPr>
      <w:r w:rsidRPr="005D41CA">
        <w:rPr>
          <w:rFonts w:cs="Times New Roman"/>
          <w:szCs w:val="24"/>
        </w:rPr>
        <w:t>GENERAL REQUIREMENTS</w:t>
      </w:r>
    </w:p>
    <w:p w14:paraId="1C1BCAF9" w14:textId="39E56993" w:rsidR="00760F73" w:rsidRPr="005D41CA" w:rsidRDefault="00760F73" w:rsidP="0001315A">
      <w:pPr>
        <w:pStyle w:val="Heading1"/>
        <w:rPr>
          <w:rFonts w:cs="Times New Roman"/>
          <w:sz w:val="24"/>
          <w:szCs w:val="24"/>
        </w:rPr>
      </w:pPr>
      <w:r w:rsidRPr="005D41CA">
        <w:rPr>
          <w:rFonts w:cs="Times New Roman"/>
          <w:sz w:val="24"/>
          <w:szCs w:val="24"/>
        </w:rPr>
        <w:t>GENERAL</w:t>
      </w:r>
    </w:p>
    <w:p w14:paraId="35664823" w14:textId="17FE0291" w:rsidR="001D1B8C" w:rsidRDefault="001D1B8C" w:rsidP="00A4551A">
      <w:pPr>
        <w:pStyle w:val="Heading2"/>
        <w:rPr>
          <w:rFonts w:cs="Times New Roman"/>
          <w:szCs w:val="24"/>
        </w:rPr>
      </w:pPr>
      <w:r>
        <w:rPr>
          <w:rFonts w:cs="Times New Roman"/>
          <w:szCs w:val="24"/>
        </w:rPr>
        <w:t>WORK INCLUDED</w:t>
      </w:r>
    </w:p>
    <w:p w14:paraId="6DF1FBED" w14:textId="65846106" w:rsidR="001D1B8C" w:rsidRPr="001D1B8C" w:rsidRDefault="001D1B8C" w:rsidP="001D1B8C">
      <w:pPr>
        <w:pStyle w:val="ListParagraph"/>
        <w:numPr>
          <w:ilvl w:val="2"/>
          <w:numId w:val="12"/>
        </w:numPr>
        <w:rPr>
          <w:b w:val="0"/>
          <w:bCs w:val="0"/>
        </w:rPr>
      </w:pPr>
      <w:r w:rsidRPr="001D1B8C">
        <w:rPr>
          <w:b w:val="0"/>
          <w:bCs w:val="0"/>
        </w:rPr>
        <w:t>Any work performed for the Wise County Public Service Authority and any work within the Wise County Public Service property.</w:t>
      </w:r>
    </w:p>
    <w:p w14:paraId="7146737E" w14:textId="1877578C" w:rsidR="00760F73" w:rsidRPr="005D41CA" w:rsidRDefault="00760F73" w:rsidP="00A4551A">
      <w:pPr>
        <w:pStyle w:val="Heading2"/>
        <w:rPr>
          <w:rFonts w:cs="Times New Roman"/>
          <w:szCs w:val="24"/>
        </w:rPr>
      </w:pPr>
      <w:r w:rsidRPr="005D41CA">
        <w:rPr>
          <w:rFonts w:cs="Times New Roman"/>
          <w:szCs w:val="24"/>
        </w:rPr>
        <w:t>RELATED DOCUMENTS</w:t>
      </w:r>
    </w:p>
    <w:p w14:paraId="05206002" w14:textId="37FC6C8D" w:rsidR="00722BF5" w:rsidRPr="005D41CA" w:rsidRDefault="00760F73" w:rsidP="00A4551A">
      <w:pPr>
        <w:pStyle w:val="ListParagraph"/>
        <w:numPr>
          <w:ilvl w:val="2"/>
          <w:numId w:val="1"/>
        </w:numPr>
        <w:spacing w:after="0" w:line="120" w:lineRule="atLeast"/>
        <w:ind w:left="1555" w:hanging="720"/>
        <w:contextualSpacing w:val="0"/>
        <w:rPr>
          <w:rFonts w:cs="Times New Roman"/>
          <w:b w:val="0"/>
          <w:bCs w:val="0"/>
          <w:szCs w:val="24"/>
        </w:rPr>
      </w:pPr>
      <w:r w:rsidRPr="005D41CA">
        <w:rPr>
          <w:rFonts w:cs="Times New Roman"/>
          <w:b w:val="0"/>
          <w:bCs w:val="0"/>
          <w:szCs w:val="24"/>
        </w:rPr>
        <w:t>Drawings and general provisions of Contract, including General and Supplementary Conditions and other Division 1 Specifications Sections, apply to this Section.</w:t>
      </w:r>
      <w:r w:rsidRPr="005D41CA">
        <w:rPr>
          <w:rFonts w:cs="Times New Roman"/>
          <w:b w:val="0"/>
          <w:bCs w:val="0"/>
          <w:szCs w:val="24"/>
        </w:rPr>
        <w:tab/>
      </w:r>
    </w:p>
    <w:p w14:paraId="6F75E6CF" w14:textId="4221D77D" w:rsidR="00760F73" w:rsidRPr="005D41CA" w:rsidRDefault="00760F73" w:rsidP="00A4551A">
      <w:pPr>
        <w:pStyle w:val="Heading2"/>
        <w:rPr>
          <w:rFonts w:cs="Times New Roman"/>
          <w:szCs w:val="24"/>
        </w:rPr>
      </w:pPr>
      <w:r w:rsidRPr="005D41CA">
        <w:rPr>
          <w:rFonts w:cs="Times New Roman"/>
          <w:szCs w:val="24"/>
        </w:rPr>
        <w:t>SCOPE OF WORK</w:t>
      </w:r>
    </w:p>
    <w:p w14:paraId="3917D64B" w14:textId="3FE64A9D" w:rsidR="008758B6" w:rsidRPr="005D41CA" w:rsidRDefault="00760F73" w:rsidP="00A4551A">
      <w:pPr>
        <w:pStyle w:val="ListParagraph"/>
        <w:numPr>
          <w:ilvl w:val="2"/>
          <w:numId w:val="8"/>
        </w:numPr>
        <w:rPr>
          <w:rFonts w:cs="Times New Roman"/>
          <w:b w:val="0"/>
          <w:bCs w:val="0"/>
          <w:szCs w:val="24"/>
        </w:rPr>
      </w:pPr>
      <w:r w:rsidRPr="005D41CA">
        <w:rPr>
          <w:rFonts w:cs="Times New Roman"/>
          <w:b w:val="0"/>
          <w:bCs w:val="0"/>
          <w:szCs w:val="24"/>
        </w:rPr>
        <w:t>The Contractor shall furnish all materials, equipment, and labor necessary for work as shown on the drawings.  The Contractor shall furnish all equipment and materials for testing.</w:t>
      </w:r>
    </w:p>
    <w:p w14:paraId="7133AE75" w14:textId="77777777" w:rsidR="00A4551A" w:rsidRPr="005D41CA" w:rsidRDefault="00A4551A" w:rsidP="00A4551A">
      <w:pPr>
        <w:pStyle w:val="ListParagraph"/>
        <w:ind w:left="1560" w:firstLine="0"/>
        <w:rPr>
          <w:rFonts w:cs="Times New Roman"/>
          <w:b w:val="0"/>
          <w:bCs w:val="0"/>
          <w:szCs w:val="24"/>
        </w:rPr>
      </w:pPr>
    </w:p>
    <w:p w14:paraId="7009F19C" w14:textId="788F04C0" w:rsidR="00760F73" w:rsidRPr="005D41CA" w:rsidRDefault="00760F73" w:rsidP="00A4551A">
      <w:pPr>
        <w:pStyle w:val="ListParagraph"/>
        <w:numPr>
          <w:ilvl w:val="2"/>
          <w:numId w:val="8"/>
        </w:numPr>
        <w:ind w:left="1555" w:hanging="720"/>
        <w:rPr>
          <w:rFonts w:cs="Times New Roman"/>
          <w:b w:val="0"/>
          <w:bCs w:val="0"/>
          <w:szCs w:val="24"/>
        </w:rPr>
      </w:pPr>
      <w:r w:rsidRPr="005D41CA">
        <w:rPr>
          <w:rFonts w:cs="Times New Roman"/>
          <w:b w:val="0"/>
          <w:bCs w:val="0"/>
          <w:szCs w:val="24"/>
        </w:rPr>
        <w:t>The Contractor shall be fully responsible for all materials installed and equipment which he has furnished and shall furnish necessary replacements as required for a complete and acceptable job.</w:t>
      </w:r>
    </w:p>
    <w:p w14:paraId="2578B89D" w14:textId="7DC45094" w:rsidR="00760F73" w:rsidRPr="005D41CA" w:rsidRDefault="00760F73" w:rsidP="00A4551A">
      <w:pPr>
        <w:pStyle w:val="Heading2"/>
        <w:rPr>
          <w:rFonts w:cs="Times New Roman"/>
          <w:szCs w:val="24"/>
        </w:rPr>
      </w:pPr>
      <w:r w:rsidRPr="005D41CA">
        <w:rPr>
          <w:rFonts w:cs="Times New Roman"/>
          <w:szCs w:val="24"/>
        </w:rPr>
        <w:t>APPLICABLE STANDARDS AND CODES</w:t>
      </w:r>
    </w:p>
    <w:p w14:paraId="7DBF7167" w14:textId="37F8814E" w:rsidR="00760F73" w:rsidRPr="005D41CA" w:rsidRDefault="00760F73" w:rsidP="00A4551A">
      <w:pPr>
        <w:pStyle w:val="ListParagraph"/>
        <w:numPr>
          <w:ilvl w:val="2"/>
          <w:numId w:val="9"/>
        </w:numPr>
        <w:rPr>
          <w:rFonts w:cs="Times New Roman"/>
          <w:b w:val="0"/>
          <w:bCs w:val="0"/>
          <w:szCs w:val="24"/>
        </w:rPr>
      </w:pPr>
      <w:r w:rsidRPr="005D41CA">
        <w:rPr>
          <w:rFonts w:cs="Times New Roman"/>
          <w:b w:val="0"/>
          <w:bCs w:val="0"/>
          <w:szCs w:val="24"/>
        </w:rPr>
        <w:t>The following is a partial list of typical abbreviations which may be used in the specifications and the organizations to which they refer:</w:t>
      </w:r>
    </w:p>
    <w:p w14:paraId="346E7009" w14:textId="77777777"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t>AASHO</w:t>
      </w:r>
      <w:r w:rsidRPr="005D41CA">
        <w:rPr>
          <w:rStyle w:val="SubtleEmphasis"/>
          <w:rFonts w:cs="Times New Roman"/>
          <w:szCs w:val="24"/>
        </w:rPr>
        <w:tab/>
        <w:t>-</w:t>
      </w:r>
      <w:r w:rsidRPr="005D41CA">
        <w:rPr>
          <w:rStyle w:val="SubtleEmphasis"/>
          <w:rFonts w:cs="Times New Roman"/>
          <w:szCs w:val="24"/>
        </w:rPr>
        <w:tab/>
        <w:t>American Association of State Highway Officials</w:t>
      </w:r>
    </w:p>
    <w:p w14:paraId="0BCCC73D" w14:textId="58576424" w:rsidR="00760F73" w:rsidRPr="005D41CA" w:rsidRDefault="00760F73" w:rsidP="005D41CA">
      <w:pPr>
        <w:pStyle w:val="NoSpacing"/>
        <w:tabs>
          <w:tab w:val="left" w:pos="2790"/>
        </w:tabs>
        <w:spacing w:before="120" w:after="120"/>
        <w:ind w:left="2160" w:hanging="1350"/>
        <w:rPr>
          <w:rStyle w:val="SubtleEmphasis"/>
          <w:rFonts w:cs="Times New Roman"/>
          <w:szCs w:val="24"/>
        </w:rPr>
      </w:pPr>
      <w:r w:rsidRPr="005D41CA">
        <w:rPr>
          <w:rStyle w:val="SubtleEmphasis"/>
          <w:rFonts w:cs="Times New Roman"/>
          <w:szCs w:val="24"/>
        </w:rPr>
        <w:t>AASHTO</w:t>
      </w:r>
      <w:r w:rsidR="005524BD" w:rsidRPr="005D41CA">
        <w:rPr>
          <w:rStyle w:val="SubtleEmphasis"/>
          <w:rFonts w:cs="Times New Roman"/>
          <w:szCs w:val="24"/>
        </w:rPr>
        <w:tab/>
      </w:r>
      <w:r w:rsidRPr="005D41CA">
        <w:rPr>
          <w:rStyle w:val="SubtleEmphasis"/>
          <w:rFonts w:cs="Times New Roman"/>
          <w:szCs w:val="24"/>
        </w:rPr>
        <w:t>-</w:t>
      </w:r>
      <w:r w:rsidRPr="005D41CA">
        <w:rPr>
          <w:rStyle w:val="SubtleEmphasis"/>
          <w:rFonts w:cs="Times New Roman"/>
          <w:szCs w:val="24"/>
        </w:rPr>
        <w:tab/>
        <w:t>American Association of State Highway and Transportation</w:t>
      </w:r>
      <w:r w:rsidR="005D41CA" w:rsidRPr="005D41CA">
        <w:rPr>
          <w:rStyle w:val="SubtleEmphasis"/>
          <w:rFonts w:cs="Times New Roman"/>
          <w:szCs w:val="24"/>
        </w:rPr>
        <w:t xml:space="preserve"> </w:t>
      </w:r>
      <w:r w:rsidRPr="005D41CA">
        <w:rPr>
          <w:rStyle w:val="SubtleEmphasis"/>
          <w:rFonts w:cs="Times New Roman"/>
          <w:szCs w:val="24"/>
        </w:rPr>
        <w:t>Official</w:t>
      </w:r>
      <w:r w:rsidRPr="005D41CA">
        <w:rPr>
          <w:rStyle w:val="SubtleEmphasis"/>
          <w:rFonts w:cs="Times New Roman"/>
          <w:szCs w:val="24"/>
        </w:rPr>
        <w:tab/>
      </w:r>
    </w:p>
    <w:p w14:paraId="4A042AF4" w14:textId="77777777"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t>ANSI</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American National Standard Institute</w:t>
      </w:r>
    </w:p>
    <w:p w14:paraId="1CF0AA89" w14:textId="77777777"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t>ACI</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 Concrete Institute</w:t>
      </w:r>
    </w:p>
    <w:p w14:paraId="57CAFFB7" w14:textId="4C5B7451" w:rsidR="00760F73" w:rsidRPr="005D41CA" w:rsidRDefault="00760F73" w:rsidP="005D41CA">
      <w:pPr>
        <w:pStyle w:val="NoSpacing"/>
        <w:tabs>
          <w:tab w:val="left" w:pos="2160"/>
        </w:tabs>
        <w:spacing w:before="120" w:after="120"/>
        <w:ind w:left="720" w:firstLine="90"/>
        <w:rPr>
          <w:rStyle w:val="SubtleEmphasis"/>
          <w:rFonts w:cs="Times New Roman"/>
          <w:szCs w:val="24"/>
        </w:rPr>
      </w:pPr>
      <w:r w:rsidRPr="005D41CA">
        <w:rPr>
          <w:rStyle w:val="SubtleEmphasis"/>
          <w:rFonts w:cs="Times New Roman"/>
          <w:szCs w:val="24"/>
        </w:rPr>
        <w:t>AGMA</w:t>
      </w:r>
      <w:r w:rsidR="005524BD" w:rsidRPr="005D41CA">
        <w:rPr>
          <w:rStyle w:val="SubtleEmphasis"/>
          <w:rFonts w:cs="Times New Roman"/>
          <w:szCs w:val="24"/>
        </w:rPr>
        <w:tab/>
      </w:r>
      <w:r w:rsidRPr="005D41CA">
        <w:rPr>
          <w:rStyle w:val="SubtleEmphasis"/>
          <w:rFonts w:cs="Times New Roman"/>
          <w:szCs w:val="24"/>
        </w:rPr>
        <w:t>-</w:t>
      </w:r>
      <w:r w:rsidRPr="005D41CA">
        <w:rPr>
          <w:rStyle w:val="SubtleEmphasis"/>
          <w:rFonts w:cs="Times New Roman"/>
          <w:szCs w:val="24"/>
        </w:rPr>
        <w:tab/>
        <w:t>American Gear Manufacturers Association</w:t>
      </w:r>
    </w:p>
    <w:p w14:paraId="21C1074B" w14:textId="673455A7" w:rsidR="00760F73" w:rsidRPr="005D41CA" w:rsidRDefault="00760F73" w:rsidP="005D41CA">
      <w:pPr>
        <w:pStyle w:val="NoSpacing"/>
        <w:tabs>
          <w:tab w:val="left" w:pos="2160"/>
        </w:tabs>
        <w:spacing w:before="120" w:after="120"/>
        <w:ind w:left="720" w:firstLine="90"/>
        <w:rPr>
          <w:rStyle w:val="SubtleEmphasis"/>
          <w:rFonts w:cs="Times New Roman"/>
          <w:szCs w:val="24"/>
        </w:rPr>
      </w:pPr>
      <w:r w:rsidRPr="005D41CA">
        <w:rPr>
          <w:rStyle w:val="SubtleEmphasis"/>
          <w:rFonts w:cs="Times New Roman"/>
          <w:szCs w:val="24"/>
        </w:rPr>
        <w:t>IEEE</w:t>
      </w:r>
      <w:r w:rsidRPr="005D41CA">
        <w:rPr>
          <w:rStyle w:val="SubtleEmphasis"/>
          <w:rFonts w:cs="Times New Roman"/>
          <w:szCs w:val="24"/>
        </w:rPr>
        <w:tab/>
        <w:t>-</w:t>
      </w:r>
      <w:r w:rsidRPr="005D41CA">
        <w:rPr>
          <w:rStyle w:val="SubtleEmphasis"/>
          <w:rFonts w:cs="Times New Roman"/>
          <w:szCs w:val="24"/>
        </w:rPr>
        <w:tab/>
        <w:t>Institute of Electrical and Electronic Owner's Representatives</w:t>
      </w:r>
    </w:p>
    <w:p w14:paraId="05418CBC" w14:textId="77777777"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t>AISC</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 xml:space="preserve">American Institute of Steel Construction </w:t>
      </w:r>
      <w:r w:rsidRPr="005D41CA">
        <w:rPr>
          <w:rStyle w:val="SubtleEmphasis"/>
          <w:rFonts w:cs="Times New Roman"/>
          <w:szCs w:val="24"/>
        </w:rPr>
        <w:tab/>
      </w:r>
      <w:r w:rsidRPr="005D41CA">
        <w:rPr>
          <w:rStyle w:val="SubtleEmphasis"/>
          <w:rFonts w:cs="Times New Roman"/>
          <w:szCs w:val="24"/>
        </w:rPr>
        <w:tab/>
      </w:r>
    </w:p>
    <w:p w14:paraId="3EC0BC86" w14:textId="39F24B9C"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t>ASTM</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American Society for Testing and Materials</w:t>
      </w:r>
    </w:p>
    <w:p w14:paraId="030D2B50" w14:textId="2BA9910C"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t>AWWA</w:t>
      </w:r>
      <w:r w:rsidR="005524BD" w:rsidRPr="005D41CA">
        <w:rPr>
          <w:rStyle w:val="SubtleEmphasis"/>
          <w:rFonts w:cs="Times New Roman"/>
          <w:szCs w:val="24"/>
        </w:rPr>
        <w:tab/>
      </w:r>
      <w:r w:rsidRPr="005D41CA">
        <w:rPr>
          <w:rStyle w:val="SubtleEmphasis"/>
          <w:rFonts w:cs="Times New Roman"/>
          <w:szCs w:val="24"/>
        </w:rPr>
        <w:t>-</w:t>
      </w:r>
      <w:r w:rsidRPr="005D41CA">
        <w:rPr>
          <w:rStyle w:val="SubtleEmphasis"/>
          <w:rFonts w:cs="Times New Roman"/>
          <w:szCs w:val="24"/>
        </w:rPr>
        <w:tab/>
        <w:t>American Water Works Association</w:t>
      </w:r>
    </w:p>
    <w:p w14:paraId="2B434C3E" w14:textId="232E3647"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lastRenderedPageBreak/>
        <w:t>IPCEA</w:t>
      </w:r>
      <w:r w:rsidR="005524BD" w:rsidRPr="005D41CA">
        <w:rPr>
          <w:rStyle w:val="SubtleEmphasis"/>
          <w:rFonts w:cs="Times New Roman"/>
          <w:szCs w:val="24"/>
        </w:rPr>
        <w:tab/>
      </w:r>
      <w:r w:rsidRPr="005D41CA">
        <w:rPr>
          <w:rStyle w:val="SubtleEmphasis"/>
          <w:rFonts w:cs="Times New Roman"/>
          <w:szCs w:val="24"/>
        </w:rPr>
        <w:t>-</w:t>
      </w:r>
      <w:r w:rsidRPr="005D41CA">
        <w:rPr>
          <w:rStyle w:val="SubtleEmphasis"/>
          <w:rFonts w:cs="Times New Roman"/>
          <w:szCs w:val="24"/>
        </w:rPr>
        <w:tab/>
        <w:t>Insulated Power Cable Owner's Representatives Association</w:t>
      </w:r>
    </w:p>
    <w:p w14:paraId="4FD0B87F" w14:textId="3EE50F1F" w:rsidR="00760F73" w:rsidRPr="005D41CA" w:rsidRDefault="00760F73" w:rsidP="005D41CA">
      <w:pPr>
        <w:pStyle w:val="NoSpacing"/>
        <w:spacing w:before="120" w:after="120"/>
        <w:ind w:left="720" w:firstLine="90"/>
        <w:rPr>
          <w:rStyle w:val="SubtleEmphasis"/>
          <w:rFonts w:cs="Times New Roman"/>
          <w:szCs w:val="24"/>
        </w:rPr>
      </w:pPr>
      <w:r w:rsidRPr="005D41CA">
        <w:rPr>
          <w:rStyle w:val="SubtleEmphasis"/>
          <w:rFonts w:cs="Times New Roman"/>
          <w:szCs w:val="24"/>
        </w:rPr>
        <w:t>NEMA</w:t>
      </w:r>
      <w:r w:rsidR="005524BD" w:rsidRPr="005D41CA">
        <w:rPr>
          <w:rStyle w:val="SubtleEmphasis"/>
          <w:rFonts w:cs="Times New Roman"/>
          <w:szCs w:val="24"/>
        </w:rPr>
        <w:tab/>
      </w:r>
      <w:r w:rsidRPr="005D41CA">
        <w:rPr>
          <w:rStyle w:val="SubtleEmphasis"/>
          <w:rFonts w:cs="Times New Roman"/>
          <w:szCs w:val="24"/>
        </w:rPr>
        <w:t>-</w:t>
      </w:r>
      <w:r w:rsidRPr="005D41CA">
        <w:rPr>
          <w:rStyle w:val="SubtleEmphasis"/>
          <w:rFonts w:cs="Times New Roman"/>
          <w:szCs w:val="24"/>
        </w:rPr>
        <w:tab/>
        <w:t>National Electrical Manufacturers Association</w:t>
      </w:r>
    </w:p>
    <w:p w14:paraId="1542C60B" w14:textId="77777777"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EEI</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Edison Electric Institute</w:t>
      </w:r>
    </w:p>
    <w:p w14:paraId="3DB448AC" w14:textId="05F1DC54"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ACIFS</w:t>
      </w:r>
      <w:r w:rsidR="005524BD"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American Cast Iron Flange Standards</w:t>
      </w:r>
    </w:p>
    <w:p w14:paraId="4854BC8F" w14:textId="1F4B6CC7"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ASME</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American Society of Mechanical Engineer's</w:t>
      </w:r>
    </w:p>
    <w:p w14:paraId="75D29E20" w14:textId="77777777"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AIA</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American Institute of Architects</w:t>
      </w:r>
    </w:p>
    <w:p w14:paraId="2C092C36" w14:textId="77777777"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AWS</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American Welding Society</w:t>
      </w:r>
    </w:p>
    <w:p w14:paraId="76F1CD62" w14:textId="77777777"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API</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American Petroleum Institute</w:t>
      </w:r>
    </w:p>
    <w:p w14:paraId="35612A87" w14:textId="77777777"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UL</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Underwriters Laboratory</w:t>
      </w:r>
    </w:p>
    <w:p w14:paraId="6BA955AE" w14:textId="77777777" w:rsidR="00760F73" w:rsidRPr="005D41CA" w:rsidRDefault="00760F73" w:rsidP="005D41CA">
      <w:pPr>
        <w:pStyle w:val="NoSpacing"/>
        <w:spacing w:before="120" w:after="120"/>
        <w:ind w:left="1530"/>
        <w:rPr>
          <w:rStyle w:val="SubtleEmphasis"/>
          <w:rFonts w:cs="Times New Roman"/>
          <w:szCs w:val="24"/>
        </w:rPr>
      </w:pPr>
      <w:r w:rsidRPr="005D41CA">
        <w:rPr>
          <w:rStyle w:val="SubtleEmphasis"/>
          <w:rFonts w:cs="Times New Roman"/>
          <w:szCs w:val="24"/>
        </w:rPr>
        <w:t>NEC</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National Electric Code</w:t>
      </w:r>
    </w:p>
    <w:p w14:paraId="58FD7DFD" w14:textId="34448A60" w:rsidR="00760F73" w:rsidRPr="005D41CA" w:rsidRDefault="00760F73" w:rsidP="005D41CA">
      <w:pPr>
        <w:pStyle w:val="NoSpacing"/>
        <w:spacing w:before="120" w:after="120"/>
        <w:ind w:left="1530"/>
        <w:rPr>
          <w:rFonts w:cs="Times New Roman"/>
          <w:i/>
          <w:iCs/>
          <w:color w:val="404040" w:themeColor="text1" w:themeTint="BF"/>
          <w:szCs w:val="24"/>
        </w:rPr>
      </w:pPr>
      <w:r w:rsidRPr="005D41CA">
        <w:rPr>
          <w:rStyle w:val="SubtleEmphasis"/>
          <w:rFonts w:cs="Times New Roman"/>
          <w:szCs w:val="24"/>
        </w:rPr>
        <w:t>VDOT</w:t>
      </w:r>
      <w:r w:rsidRPr="005D41CA">
        <w:rPr>
          <w:rStyle w:val="SubtleEmphasis"/>
          <w:rFonts w:cs="Times New Roman"/>
          <w:szCs w:val="24"/>
        </w:rPr>
        <w:tab/>
      </w:r>
      <w:r w:rsidRPr="005D41CA">
        <w:rPr>
          <w:rStyle w:val="SubtleEmphasis"/>
          <w:rFonts w:cs="Times New Roman"/>
          <w:szCs w:val="24"/>
        </w:rPr>
        <w:tab/>
        <w:t>-</w:t>
      </w:r>
      <w:r w:rsidRPr="005D41CA">
        <w:rPr>
          <w:rStyle w:val="SubtleEmphasis"/>
          <w:rFonts w:cs="Times New Roman"/>
          <w:szCs w:val="24"/>
        </w:rPr>
        <w:tab/>
        <w:t>Virginia Department of Transportation</w:t>
      </w:r>
    </w:p>
    <w:p w14:paraId="3B260038" w14:textId="62E330A7" w:rsidR="00760F73" w:rsidRPr="005D41CA" w:rsidRDefault="00760F73" w:rsidP="00A4551A">
      <w:pPr>
        <w:pStyle w:val="Heading2"/>
        <w:rPr>
          <w:rFonts w:cs="Times New Roman"/>
          <w:szCs w:val="24"/>
        </w:rPr>
      </w:pPr>
      <w:r w:rsidRPr="005D41CA">
        <w:rPr>
          <w:rFonts w:cs="Times New Roman"/>
          <w:szCs w:val="24"/>
        </w:rPr>
        <w:t>NUMBER OF SHOP DRAWINGS</w:t>
      </w:r>
    </w:p>
    <w:p w14:paraId="299EA77F" w14:textId="0F3E570F" w:rsidR="008758B6" w:rsidRPr="005D41CA" w:rsidRDefault="00760F73" w:rsidP="008758B6">
      <w:pPr>
        <w:pStyle w:val="Heading3"/>
        <w:rPr>
          <w:rFonts w:cs="Times New Roman"/>
          <w:szCs w:val="24"/>
        </w:rPr>
      </w:pPr>
      <w:r w:rsidRPr="005D41CA">
        <w:rPr>
          <w:rFonts w:cs="Times New Roman"/>
          <w:szCs w:val="24"/>
        </w:rPr>
        <w:t>The Contractor shall prepare and submit for review to the Owner's Representative shop drawings for all fabricated work and for all manufactured items required to be furnished by the Contractor as noted in the Contract Documents in accordance with Section 01300</w:t>
      </w:r>
      <w:r w:rsidR="008758B6" w:rsidRPr="005D41CA">
        <w:rPr>
          <w:rFonts w:cs="Times New Roman"/>
          <w:szCs w:val="24"/>
        </w:rPr>
        <w:t>.</w:t>
      </w:r>
    </w:p>
    <w:p w14:paraId="7DD49B1F" w14:textId="77777777" w:rsidR="00A4551A" w:rsidRPr="005D41CA" w:rsidRDefault="00A4551A" w:rsidP="00A4551A">
      <w:pPr>
        <w:pStyle w:val="Heading3"/>
        <w:numPr>
          <w:ilvl w:val="0"/>
          <w:numId w:val="0"/>
        </w:numPr>
        <w:ind w:left="1560"/>
        <w:rPr>
          <w:rFonts w:cs="Times New Roman"/>
          <w:szCs w:val="24"/>
        </w:rPr>
      </w:pPr>
    </w:p>
    <w:p w14:paraId="38965F8B" w14:textId="6AA090E5" w:rsidR="00722BF5" w:rsidRPr="005D41CA" w:rsidRDefault="00760F73" w:rsidP="008758B6">
      <w:pPr>
        <w:pStyle w:val="Heading3"/>
        <w:rPr>
          <w:rFonts w:cs="Times New Roman"/>
          <w:szCs w:val="24"/>
        </w:rPr>
      </w:pPr>
      <w:r w:rsidRPr="005D41CA">
        <w:rPr>
          <w:rFonts w:cs="Times New Roman"/>
          <w:szCs w:val="24"/>
        </w:rPr>
        <w:t>Shop drawings shall be submitted as required by individual sections of the technical specifications.</w:t>
      </w:r>
    </w:p>
    <w:p w14:paraId="1946BB35" w14:textId="45A43825" w:rsidR="003B7C06" w:rsidRPr="005D41CA" w:rsidRDefault="00760F73" w:rsidP="00A4551A">
      <w:pPr>
        <w:pStyle w:val="Heading2"/>
        <w:rPr>
          <w:rFonts w:cs="Times New Roman"/>
          <w:szCs w:val="24"/>
        </w:rPr>
      </w:pPr>
      <w:r w:rsidRPr="005D41CA">
        <w:rPr>
          <w:rFonts w:cs="Times New Roman"/>
          <w:szCs w:val="24"/>
        </w:rPr>
        <w:t>MEASUREMENT AND PAYMENT</w:t>
      </w:r>
    </w:p>
    <w:p w14:paraId="5A83FC9B" w14:textId="639A9EFD" w:rsidR="005524BD" w:rsidRPr="005F7F9E" w:rsidRDefault="00760F73" w:rsidP="005F7F9E">
      <w:pPr>
        <w:pStyle w:val="ListParagraph"/>
        <w:numPr>
          <w:ilvl w:val="2"/>
          <w:numId w:val="2"/>
        </w:numPr>
        <w:spacing w:before="120"/>
        <w:ind w:left="1555" w:hanging="720"/>
        <w:rPr>
          <w:rFonts w:cs="Times New Roman"/>
          <w:b w:val="0"/>
          <w:bCs w:val="0"/>
          <w:szCs w:val="24"/>
        </w:rPr>
      </w:pPr>
      <w:r w:rsidRPr="005D41CA">
        <w:rPr>
          <w:rFonts w:cs="Times New Roman"/>
          <w:b w:val="0"/>
          <w:bCs w:val="0"/>
          <w:szCs w:val="24"/>
        </w:rPr>
        <w:t>Payment for work described in this Section shall be included in the various bid items for this project.</w:t>
      </w:r>
    </w:p>
    <w:p w14:paraId="681C08E7" w14:textId="3CB31DC4" w:rsidR="00722BF5" w:rsidRPr="005D41CA" w:rsidRDefault="00760F73" w:rsidP="0001315A">
      <w:pPr>
        <w:pStyle w:val="Heading1"/>
        <w:rPr>
          <w:rFonts w:cs="Times New Roman"/>
          <w:sz w:val="24"/>
          <w:szCs w:val="24"/>
        </w:rPr>
      </w:pPr>
      <w:r w:rsidRPr="005D41CA">
        <w:rPr>
          <w:rFonts w:cs="Times New Roman"/>
          <w:sz w:val="24"/>
          <w:szCs w:val="24"/>
        </w:rPr>
        <w:t>PRODUCTS (NOT APPLICABLE</w:t>
      </w:r>
      <w:r w:rsidR="0001315A" w:rsidRPr="005D41CA">
        <w:rPr>
          <w:rFonts w:cs="Times New Roman"/>
          <w:sz w:val="24"/>
          <w:szCs w:val="24"/>
        </w:rPr>
        <w:t>)</w:t>
      </w:r>
    </w:p>
    <w:p w14:paraId="5D32C2A8" w14:textId="5200448B" w:rsidR="003B7C06" w:rsidRPr="005D41CA" w:rsidRDefault="00760F73" w:rsidP="00A4551A">
      <w:pPr>
        <w:pStyle w:val="ListParagraph"/>
        <w:numPr>
          <w:ilvl w:val="0"/>
          <w:numId w:val="9"/>
        </w:numPr>
        <w:rPr>
          <w:rFonts w:cs="Times New Roman"/>
          <w:szCs w:val="24"/>
        </w:rPr>
      </w:pPr>
      <w:r w:rsidRPr="005D41CA">
        <w:rPr>
          <w:rFonts w:cs="Times New Roman"/>
          <w:szCs w:val="24"/>
        </w:rPr>
        <w:t>EXECUTION</w:t>
      </w:r>
    </w:p>
    <w:p w14:paraId="24478EE7" w14:textId="3CA949BF" w:rsidR="00760F73" w:rsidRPr="005D41CA" w:rsidRDefault="00760F73" w:rsidP="00A4551A">
      <w:pPr>
        <w:pStyle w:val="Heading2"/>
        <w:rPr>
          <w:rFonts w:cs="Times New Roman"/>
          <w:szCs w:val="24"/>
        </w:rPr>
      </w:pPr>
      <w:r w:rsidRPr="005D41CA">
        <w:rPr>
          <w:rFonts w:cs="Times New Roman"/>
          <w:szCs w:val="24"/>
        </w:rPr>
        <w:t>SCHEDULES</w:t>
      </w:r>
    </w:p>
    <w:p w14:paraId="73D50615" w14:textId="4869A510" w:rsidR="005524BD" w:rsidRPr="005D41CA" w:rsidRDefault="00760F73" w:rsidP="00A4551A">
      <w:pPr>
        <w:pStyle w:val="Heading3"/>
        <w:numPr>
          <w:ilvl w:val="2"/>
          <w:numId w:val="10"/>
        </w:numPr>
        <w:rPr>
          <w:rFonts w:cs="Times New Roman"/>
          <w:szCs w:val="24"/>
        </w:rPr>
      </w:pPr>
      <w:r w:rsidRPr="005D41CA">
        <w:rPr>
          <w:rFonts w:cs="Times New Roman"/>
          <w:szCs w:val="24"/>
        </w:rPr>
        <w:t xml:space="preserve">Schedules shall be updated on a monthly basis and submitted with partial payment estimates. </w:t>
      </w:r>
    </w:p>
    <w:p w14:paraId="53C3792A" w14:textId="77777777" w:rsidR="00A4551A" w:rsidRPr="005D41CA" w:rsidRDefault="00A4551A" w:rsidP="00A4551A">
      <w:pPr>
        <w:pStyle w:val="Heading3"/>
        <w:numPr>
          <w:ilvl w:val="0"/>
          <w:numId w:val="0"/>
        </w:numPr>
        <w:ind w:left="1560"/>
        <w:rPr>
          <w:rFonts w:cs="Times New Roman"/>
          <w:szCs w:val="24"/>
        </w:rPr>
      </w:pPr>
    </w:p>
    <w:p w14:paraId="718BEE9C" w14:textId="03BB392E" w:rsidR="00A4551A" w:rsidRPr="005D41CA" w:rsidRDefault="00760F73" w:rsidP="00A4551A">
      <w:pPr>
        <w:pStyle w:val="Heading3"/>
        <w:numPr>
          <w:ilvl w:val="2"/>
          <w:numId w:val="3"/>
        </w:numPr>
        <w:rPr>
          <w:rFonts w:cs="Times New Roman"/>
          <w:szCs w:val="24"/>
        </w:rPr>
      </w:pPr>
      <w:r w:rsidRPr="005D41CA">
        <w:rPr>
          <w:rFonts w:cs="Times New Roman"/>
          <w:szCs w:val="24"/>
        </w:rPr>
        <w:t>Schedules shall be in chronological order according to the start date for each activity. Identify each activity with the applicable specification section number. Each activity on the schedule shall contain an activity number, description, duration, trade, cost, and building area location (if applicable).</w:t>
      </w:r>
    </w:p>
    <w:p w14:paraId="6438B241" w14:textId="77777777" w:rsidR="00A4551A" w:rsidRPr="005D41CA" w:rsidRDefault="00A4551A" w:rsidP="00A4551A">
      <w:pPr>
        <w:pStyle w:val="Heading3"/>
        <w:numPr>
          <w:ilvl w:val="0"/>
          <w:numId w:val="0"/>
        </w:numPr>
        <w:ind w:left="1560"/>
        <w:rPr>
          <w:rFonts w:cs="Times New Roman"/>
          <w:szCs w:val="24"/>
        </w:rPr>
      </w:pPr>
    </w:p>
    <w:p w14:paraId="05793C45" w14:textId="07D7E494" w:rsidR="00A4551A" w:rsidRPr="005D41CA" w:rsidRDefault="00760F73" w:rsidP="00A4551A">
      <w:pPr>
        <w:pStyle w:val="Heading3"/>
        <w:rPr>
          <w:rFonts w:cs="Times New Roman"/>
          <w:szCs w:val="24"/>
        </w:rPr>
      </w:pPr>
      <w:r w:rsidRPr="005D41CA">
        <w:rPr>
          <w:rFonts w:cs="Times New Roman"/>
          <w:szCs w:val="24"/>
        </w:rPr>
        <w:lastRenderedPageBreak/>
        <w:t>The schedule shall not exceed the Contract Times established in the Contract Documents and shall provide for prompt and efficient execution of the Work</w:t>
      </w:r>
      <w:r w:rsidR="005524BD" w:rsidRPr="005D41CA">
        <w:rPr>
          <w:rFonts w:cs="Times New Roman"/>
          <w:szCs w:val="24"/>
        </w:rPr>
        <w:t>.</w:t>
      </w:r>
    </w:p>
    <w:p w14:paraId="2C73BF78" w14:textId="77777777" w:rsidR="00A4551A" w:rsidRPr="005D41CA" w:rsidRDefault="00A4551A" w:rsidP="00A4551A">
      <w:pPr>
        <w:pStyle w:val="Heading3"/>
        <w:numPr>
          <w:ilvl w:val="0"/>
          <w:numId w:val="0"/>
        </w:numPr>
        <w:ind w:left="1560"/>
        <w:rPr>
          <w:rFonts w:cs="Times New Roman"/>
          <w:szCs w:val="24"/>
        </w:rPr>
      </w:pPr>
    </w:p>
    <w:p w14:paraId="47AD1C37" w14:textId="411F3A45" w:rsidR="008758B6" w:rsidRPr="005D41CA" w:rsidRDefault="00760F73" w:rsidP="00A4551A">
      <w:pPr>
        <w:pStyle w:val="Heading3"/>
        <w:rPr>
          <w:rFonts w:cs="Times New Roman"/>
          <w:szCs w:val="24"/>
        </w:rPr>
      </w:pPr>
      <w:r w:rsidRPr="005D41CA">
        <w:rPr>
          <w:rFonts w:cs="Times New Roman"/>
          <w:szCs w:val="24"/>
        </w:rPr>
        <w:t>The schedule shall include a critical path diagram showing the sequence and interdependence of all activities required for complete performance of the Contractor’s Work, including the placing of orders for materials and equipment, delivery of materials and equipment, and construction of the Project. The schedule shall provide a graphic representation of all activities and events that will occur in the prosecution of the Work; identify the phase of construction; and set forth all critical dates that must be met to ensure timely and orderly completion of the Work within the Contract Times prescribed in the Contract Documents</w:t>
      </w:r>
      <w:r w:rsidR="005524BD" w:rsidRPr="005D41CA">
        <w:rPr>
          <w:rFonts w:cs="Times New Roman"/>
          <w:szCs w:val="24"/>
        </w:rPr>
        <w:t>.</w:t>
      </w:r>
    </w:p>
    <w:p w14:paraId="7B97FA01" w14:textId="77777777" w:rsidR="00A4551A" w:rsidRPr="005D41CA" w:rsidRDefault="00A4551A" w:rsidP="00A4551A">
      <w:pPr>
        <w:pStyle w:val="Heading3"/>
        <w:numPr>
          <w:ilvl w:val="0"/>
          <w:numId w:val="0"/>
        </w:numPr>
        <w:ind w:left="1560"/>
        <w:rPr>
          <w:rFonts w:cs="Times New Roman"/>
          <w:szCs w:val="24"/>
        </w:rPr>
      </w:pPr>
    </w:p>
    <w:p w14:paraId="0EBECDA7" w14:textId="7770C22E" w:rsidR="008758B6" w:rsidRPr="005D41CA" w:rsidRDefault="00760F73" w:rsidP="00A4551A">
      <w:pPr>
        <w:pStyle w:val="Heading3"/>
        <w:rPr>
          <w:rFonts w:cs="Times New Roman"/>
          <w:szCs w:val="24"/>
        </w:rPr>
      </w:pPr>
      <w:r w:rsidRPr="005D41CA">
        <w:rPr>
          <w:rFonts w:cs="Times New Roman"/>
          <w:szCs w:val="24"/>
        </w:rPr>
        <w:t>The Contractor may show early completion of the Work on the schedule, should it so elect, but the Contractor shall have no claim for delay damages or constructive acceleration should any delay, whatever the cause, preclude the Contractor from finishing the Project at any point prior to the completion date set forth in the Contract Documents.</w:t>
      </w:r>
    </w:p>
    <w:p w14:paraId="0ABE60A8" w14:textId="77777777" w:rsidR="00A4551A" w:rsidRPr="005D41CA" w:rsidRDefault="00A4551A" w:rsidP="00A4551A">
      <w:pPr>
        <w:pStyle w:val="Heading3"/>
        <w:numPr>
          <w:ilvl w:val="0"/>
          <w:numId w:val="0"/>
        </w:numPr>
        <w:ind w:left="1560"/>
        <w:rPr>
          <w:rFonts w:cs="Times New Roman"/>
          <w:szCs w:val="24"/>
        </w:rPr>
      </w:pPr>
    </w:p>
    <w:p w14:paraId="694DCEC3" w14:textId="0D0AD107" w:rsidR="00760F73" w:rsidRPr="005D41CA" w:rsidRDefault="00760F73" w:rsidP="005524BD">
      <w:pPr>
        <w:pStyle w:val="Heading3"/>
        <w:rPr>
          <w:rFonts w:cs="Times New Roman"/>
          <w:szCs w:val="24"/>
        </w:rPr>
      </w:pPr>
      <w:r w:rsidRPr="005D41CA">
        <w:rPr>
          <w:rFonts w:cs="Times New Roman"/>
          <w:szCs w:val="24"/>
        </w:rPr>
        <w:t>In the event that the project is delayed beyond the Contract Times, the Contractor will be obligated to pay the Owner, in addition to any liquidated damages called for in the Contract Documents or any delay damages permitted pursuant thereto, a sum equal to the Owner’s obligation to pay the Engineer for providing additional Construction Contract Administration services beyond the Contract Times set forth in the Contract Documents.</w:t>
      </w:r>
    </w:p>
    <w:p w14:paraId="690204ED" w14:textId="79320023" w:rsidR="00760F73" w:rsidRPr="005D41CA" w:rsidRDefault="00760F73" w:rsidP="00A4551A">
      <w:pPr>
        <w:pStyle w:val="Heading2"/>
        <w:rPr>
          <w:rFonts w:cs="Times New Roman"/>
          <w:szCs w:val="24"/>
        </w:rPr>
      </w:pPr>
      <w:r w:rsidRPr="005D41CA">
        <w:rPr>
          <w:rFonts w:cs="Times New Roman"/>
          <w:szCs w:val="24"/>
        </w:rPr>
        <w:t>NOTICE</w:t>
      </w:r>
      <w:r w:rsidR="005524BD" w:rsidRPr="005D41CA">
        <w:rPr>
          <w:rFonts w:cs="Times New Roman"/>
          <w:szCs w:val="24"/>
        </w:rPr>
        <w:t>S</w:t>
      </w:r>
    </w:p>
    <w:p w14:paraId="1858707D" w14:textId="056E2BE3" w:rsidR="00760F73" w:rsidRPr="005D41CA" w:rsidRDefault="00760F73" w:rsidP="00A4551A">
      <w:pPr>
        <w:pStyle w:val="ListParagraph"/>
        <w:numPr>
          <w:ilvl w:val="2"/>
          <w:numId w:val="4"/>
        </w:numPr>
        <w:rPr>
          <w:rFonts w:cs="Times New Roman"/>
          <w:b w:val="0"/>
          <w:bCs w:val="0"/>
          <w:szCs w:val="24"/>
        </w:rPr>
      </w:pPr>
      <w:r w:rsidRPr="005D41CA">
        <w:rPr>
          <w:rFonts w:cs="Times New Roman"/>
          <w:b w:val="0"/>
          <w:bCs w:val="0"/>
          <w:szCs w:val="24"/>
        </w:rPr>
        <w:t xml:space="preserve">It shall be the Contractor's responsibility to notify the Owner's Representative at least </w:t>
      </w:r>
      <w:r w:rsidRPr="005D41CA">
        <w:rPr>
          <w:rFonts w:cs="Times New Roman"/>
          <w:b w:val="0"/>
          <w:bCs w:val="0"/>
          <w:szCs w:val="24"/>
          <w:u w:val="single"/>
        </w:rPr>
        <w:t>seventy-two</w:t>
      </w:r>
      <w:r w:rsidRPr="005D41CA">
        <w:rPr>
          <w:rFonts w:cs="Times New Roman"/>
          <w:b w:val="0"/>
          <w:bCs w:val="0"/>
          <w:szCs w:val="24"/>
        </w:rPr>
        <w:t xml:space="preserve"> (72) hours in advance of beginning any construction work on the project.</w:t>
      </w:r>
    </w:p>
    <w:p w14:paraId="13E01CB7" w14:textId="5AB1BEB6" w:rsidR="00760F73" w:rsidRPr="005D41CA" w:rsidRDefault="00760F73" w:rsidP="00A4551A">
      <w:pPr>
        <w:pStyle w:val="Heading2"/>
        <w:rPr>
          <w:rFonts w:cs="Times New Roman"/>
          <w:szCs w:val="24"/>
        </w:rPr>
      </w:pPr>
      <w:r w:rsidRPr="005D41CA">
        <w:rPr>
          <w:rFonts w:cs="Times New Roman"/>
          <w:szCs w:val="24"/>
        </w:rPr>
        <w:t>HANDLING AND STORAGE OF MATERIALS</w:t>
      </w:r>
    </w:p>
    <w:p w14:paraId="17BA5FE4" w14:textId="0EE44550" w:rsidR="00760F73" w:rsidRPr="005D41CA" w:rsidRDefault="00760F73" w:rsidP="00A4551A">
      <w:pPr>
        <w:pStyle w:val="BodyTextIndent3"/>
        <w:numPr>
          <w:ilvl w:val="2"/>
          <w:numId w:val="6"/>
        </w:numPr>
        <w:tabs>
          <w:tab w:val="clear" w:pos="0"/>
          <w:tab w:val="clear" w:pos="432"/>
          <w:tab w:val="clear" w:pos="1080"/>
          <w:tab w:val="clear" w:pos="1620"/>
          <w:tab w:val="clear" w:pos="3888"/>
          <w:tab w:val="clear" w:pos="4464"/>
          <w:tab w:val="clear" w:pos="5040"/>
          <w:tab w:val="clear" w:pos="5616"/>
        </w:tabs>
        <w:rPr>
          <w:b w:val="0"/>
          <w:bCs w:val="0"/>
          <w:szCs w:val="24"/>
        </w:rPr>
      </w:pPr>
      <w:r w:rsidRPr="005D41CA">
        <w:rPr>
          <w:b w:val="0"/>
          <w:bCs w:val="0"/>
          <w:szCs w:val="24"/>
        </w:rPr>
        <w:t>The Contractor shall be responsible for the shipping from Owner storage areas and storing of all materials which may be supplied by the Owner.  Any material which is damaged or defective after receipt of same in good condition shall be replaced by the Contractor at the Contractor’s own expense.</w:t>
      </w:r>
    </w:p>
    <w:p w14:paraId="63FD6546" w14:textId="77777777" w:rsidR="00760F73" w:rsidRPr="005D41CA" w:rsidRDefault="00760F73" w:rsidP="00A4551A">
      <w:pPr>
        <w:pStyle w:val="ListParagraph"/>
        <w:numPr>
          <w:ilvl w:val="2"/>
          <w:numId w:val="6"/>
        </w:numPr>
        <w:rPr>
          <w:rFonts w:cs="Times New Roman"/>
          <w:b w:val="0"/>
          <w:bCs w:val="0"/>
          <w:szCs w:val="24"/>
        </w:rPr>
      </w:pPr>
      <w:r w:rsidRPr="005D41CA">
        <w:rPr>
          <w:rFonts w:cs="Times New Roman"/>
          <w:b w:val="0"/>
          <w:bCs w:val="0"/>
          <w:szCs w:val="24"/>
        </w:rPr>
        <w:t>3.3.2</w:t>
      </w:r>
      <w:r w:rsidRPr="005D41CA">
        <w:rPr>
          <w:rFonts w:cs="Times New Roman"/>
          <w:b w:val="0"/>
          <w:bCs w:val="0"/>
          <w:szCs w:val="24"/>
        </w:rPr>
        <w:tab/>
        <w:t>If any material is furnished by the Owner, it shall be the Contractor's responsibility to examine such material at the point of delivery and to reject all defective material. If any Owner furnished material is found to be defective after installation and prior to final acceptance, the Contractor shall replace the defective material with sound material at the Contractor's own expense.</w:t>
      </w:r>
    </w:p>
    <w:p w14:paraId="15088E37" w14:textId="77777777" w:rsidR="005524BD" w:rsidRPr="005D41CA" w:rsidRDefault="005524BD" w:rsidP="005524BD">
      <w:pPr>
        <w:pStyle w:val="ListParagraph"/>
        <w:ind w:left="1560" w:firstLine="0"/>
        <w:rPr>
          <w:rFonts w:cs="Times New Roman"/>
          <w:b w:val="0"/>
          <w:bCs w:val="0"/>
          <w:szCs w:val="24"/>
        </w:rPr>
      </w:pPr>
    </w:p>
    <w:p w14:paraId="2AC3615E" w14:textId="2C7A568D" w:rsidR="00A4551A" w:rsidRPr="005D41CA" w:rsidRDefault="00760F73" w:rsidP="00A4551A">
      <w:pPr>
        <w:pStyle w:val="ListParagraph"/>
        <w:numPr>
          <w:ilvl w:val="2"/>
          <w:numId w:val="6"/>
        </w:numPr>
        <w:rPr>
          <w:rFonts w:cs="Times New Roman"/>
          <w:b w:val="0"/>
          <w:bCs w:val="0"/>
          <w:szCs w:val="24"/>
        </w:rPr>
      </w:pPr>
      <w:r w:rsidRPr="005D41CA">
        <w:rPr>
          <w:rFonts w:cs="Times New Roman"/>
          <w:b w:val="0"/>
          <w:bCs w:val="0"/>
          <w:szCs w:val="24"/>
        </w:rPr>
        <w:t>The loading and unloading of all equipment and materials, piping, pumps and other accessories shall be in accordance with the manufacturer's recommended practices and shall at all times be performed with care to avoid any damage to the material.</w:t>
      </w:r>
    </w:p>
    <w:p w14:paraId="26A88A03" w14:textId="77777777" w:rsidR="00A4551A" w:rsidRPr="005D41CA" w:rsidRDefault="00A4551A" w:rsidP="00A4551A">
      <w:pPr>
        <w:pStyle w:val="ListParagraph"/>
        <w:ind w:left="1560" w:firstLine="0"/>
        <w:rPr>
          <w:rFonts w:cs="Times New Roman"/>
          <w:b w:val="0"/>
          <w:bCs w:val="0"/>
          <w:szCs w:val="24"/>
        </w:rPr>
      </w:pPr>
    </w:p>
    <w:p w14:paraId="5C627552" w14:textId="70E5D574" w:rsidR="00760F73" w:rsidRPr="005D41CA" w:rsidRDefault="00760F73" w:rsidP="00A4551A">
      <w:pPr>
        <w:pStyle w:val="ListParagraph"/>
        <w:numPr>
          <w:ilvl w:val="2"/>
          <w:numId w:val="6"/>
        </w:numPr>
        <w:rPr>
          <w:rFonts w:cs="Times New Roman"/>
          <w:b w:val="0"/>
          <w:bCs w:val="0"/>
          <w:szCs w:val="24"/>
        </w:rPr>
      </w:pPr>
      <w:r w:rsidRPr="005D41CA">
        <w:rPr>
          <w:rFonts w:cs="Times New Roman"/>
          <w:b w:val="0"/>
          <w:bCs w:val="0"/>
          <w:szCs w:val="24"/>
        </w:rPr>
        <w:t>All materials, once on the job site, shall be stored in accordance with the manufacturer's recommendations.</w:t>
      </w:r>
    </w:p>
    <w:p w14:paraId="250AAB7E" w14:textId="77777777" w:rsidR="005524BD" w:rsidRPr="005D41CA" w:rsidRDefault="005524BD" w:rsidP="005524BD">
      <w:pPr>
        <w:pStyle w:val="ListParagraph"/>
        <w:ind w:left="1560" w:firstLine="0"/>
        <w:rPr>
          <w:rFonts w:cs="Times New Roman"/>
          <w:b w:val="0"/>
          <w:bCs w:val="0"/>
          <w:szCs w:val="24"/>
        </w:rPr>
      </w:pPr>
    </w:p>
    <w:p w14:paraId="3576A570" w14:textId="5B3A60AE" w:rsidR="00A4551A" w:rsidRPr="005D41CA" w:rsidRDefault="00760F73" w:rsidP="00A4551A">
      <w:pPr>
        <w:pStyle w:val="ListParagraph"/>
        <w:numPr>
          <w:ilvl w:val="2"/>
          <w:numId w:val="6"/>
        </w:numPr>
        <w:rPr>
          <w:rFonts w:cs="Times New Roman"/>
          <w:b w:val="0"/>
          <w:bCs w:val="0"/>
          <w:szCs w:val="24"/>
        </w:rPr>
      </w:pPr>
      <w:r w:rsidRPr="005D41CA">
        <w:rPr>
          <w:rFonts w:cs="Times New Roman"/>
          <w:b w:val="0"/>
          <w:bCs w:val="0"/>
          <w:szCs w:val="24"/>
        </w:rPr>
        <w:t>All miscellaneous valves, fittings, and equipment shall be stored so that they are protected from weather elements.  All pipes shall be kept free of dirt and other debris.  Any damage to materials shall be repaired in a manner approved by the Owner's Representative.  Mechanical equipment and electrical components shall not be stored outside.  Mechanical equipment and electrical components shall be stored so that they are protected from outside exposure and moisture.</w:t>
      </w:r>
    </w:p>
    <w:p w14:paraId="7D0149BC" w14:textId="77777777" w:rsidR="00A4551A" w:rsidRPr="005D41CA" w:rsidRDefault="00A4551A" w:rsidP="00A4551A">
      <w:pPr>
        <w:pStyle w:val="ListParagraph"/>
        <w:ind w:left="1560" w:firstLine="0"/>
        <w:rPr>
          <w:rFonts w:cs="Times New Roman"/>
          <w:b w:val="0"/>
          <w:bCs w:val="0"/>
          <w:szCs w:val="24"/>
        </w:rPr>
      </w:pPr>
    </w:p>
    <w:p w14:paraId="3463B7EF" w14:textId="3BBD8370" w:rsidR="00760F73" w:rsidRPr="005D41CA" w:rsidRDefault="00760F73" w:rsidP="00A4551A">
      <w:pPr>
        <w:pStyle w:val="ListParagraph"/>
        <w:numPr>
          <w:ilvl w:val="2"/>
          <w:numId w:val="6"/>
        </w:numPr>
        <w:rPr>
          <w:rFonts w:cs="Times New Roman"/>
          <w:b w:val="0"/>
          <w:bCs w:val="0"/>
          <w:szCs w:val="24"/>
        </w:rPr>
      </w:pPr>
      <w:r w:rsidRPr="005D41CA">
        <w:rPr>
          <w:rFonts w:cs="Times New Roman"/>
          <w:b w:val="0"/>
          <w:bCs w:val="0"/>
          <w:szCs w:val="24"/>
        </w:rPr>
        <w:t>The Contractor shall be responsible for safeguarding and protecting all material and equipment stored on the job site. The Contractor shall be responsible for the storage of materials in a safe and workmanlike manner to prevent injuries, during and after working hours, until the project is complete.</w:t>
      </w:r>
    </w:p>
    <w:p w14:paraId="7F72B10C" w14:textId="712E909F" w:rsidR="00760F73" w:rsidRPr="005D41CA" w:rsidRDefault="00760F73" w:rsidP="00A4551A">
      <w:pPr>
        <w:pStyle w:val="Heading3"/>
        <w:rPr>
          <w:rFonts w:cs="Times New Roman"/>
          <w:szCs w:val="24"/>
        </w:rPr>
      </w:pPr>
      <w:r w:rsidRPr="005D41CA">
        <w:rPr>
          <w:rFonts w:cs="Times New Roman"/>
          <w:szCs w:val="24"/>
        </w:rPr>
        <w:t>Construction Water:  The Contractor is responsible for construction water for their job sites.  The PSA can provide metered construction water for the construction project upon request.</w:t>
      </w:r>
    </w:p>
    <w:p w14:paraId="6DFF07E0" w14:textId="14A76426" w:rsidR="00760F73" w:rsidRPr="005D41CA" w:rsidRDefault="00760F73" w:rsidP="00A4551A">
      <w:pPr>
        <w:pStyle w:val="Heading2"/>
        <w:rPr>
          <w:rFonts w:cs="Times New Roman"/>
          <w:szCs w:val="24"/>
        </w:rPr>
      </w:pPr>
      <w:r w:rsidRPr="005D41CA">
        <w:rPr>
          <w:rFonts w:cs="Times New Roman"/>
          <w:szCs w:val="24"/>
        </w:rPr>
        <w:t>GENERAL TESTING REQUIREMENTS</w:t>
      </w:r>
    </w:p>
    <w:p w14:paraId="6BDE1994" w14:textId="7ACB9F82" w:rsidR="00760F73" w:rsidRPr="005D41CA" w:rsidRDefault="00760F73" w:rsidP="00A4551A">
      <w:pPr>
        <w:pStyle w:val="ListParagraph"/>
        <w:numPr>
          <w:ilvl w:val="2"/>
          <w:numId w:val="5"/>
        </w:numPr>
        <w:rPr>
          <w:rFonts w:cs="Times New Roman"/>
          <w:b w:val="0"/>
          <w:bCs w:val="0"/>
          <w:szCs w:val="24"/>
        </w:rPr>
      </w:pPr>
      <w:r w:rsidRPr="005D41CA">
        <w:rPr>
          <w:rFonts w:cs="Times New Roman"/>
          <w:b w:val="0"/>
          <w:bCs w:val="0"/>
          <w:szCs w:val="24"/>
        </w:rPr>
        <w:t>The Owner shall perform, or may require the Contractor to perform, such destructive and nondestructive testing, as it deems necessary in order to inspect the materials and workmanship.  These tests shall be in accordance with the procedures established by ASTM and AASHTO.  The Owner shall reserve the right to allow a deeper test to be made in using the sand-cone method and/or nuclear testing gauges.</w:t>
      </w:r>
    </w:p>
    <w:p w14:paraId="1453ADCD" w14:textId="77777777" w:rsidR="00A4551A" w:rsidRPr="005D41CA" w:rsidRDefault="00A4551A" w:rsidP="00A4551A">
      <w:pPr>
        <w:pStyle w:val="ListParagraph"/>
        <w:ind w:left="1560" w:firstLine="0"/>
        <w:rPr>
          <w:rFonts w:cs="Times New Roman"/>
          <w:b w:val="0"/>
          <w:bCs w:val="0"/>
          <w:szCs w:val="24"/>
        </w:rPr>
      </w:pPr>
    </w:p>
    <w:p w14:paraId="7DC09565" w14:textId="4F033BEC" w:rsidR="00760F73" w:rsidRDefault="00760F73" w:rsidP="00A4551A">
      <w:pPr>
        <w:pStyle w:val="ListParagraph"/>
        <w:numPr>
          <w:ilvl w:val="2"/>
          <w:numId w:val="5"/>
        </w:numPr>
        <w:rPr>
          <w:rFonts w:cs="Times New Roman"/>
          <w:b w:val="0"/>
          <w:bCs w:val="0"/>
          <w:szCs w:val="24"/>
        </w:rPr>
      </w:pPr>
      <w:r w:rsidRPr="005D41CA">
        <w:rPr>
          <w:rFonts w:cs="Times New Roman"/>
          <w:b w:val="0"/>
          <w:bCs w:val="0"/>
          <w:szCs w:val="24"/>
        </w:rPr>
        <w:t>The Contractor may at any time employ an approved independent testing agency to check the results of the tests made by the Owner. Should such tests change the Owner results from failure to acceptance, the recheck cost shall be borne by the Owner. If the results do not change the Owner's findings, the cost of the tests shall be paid by the Contractor.</w:t>
      </w:r>
    </w:p>
    <w:p w14:paraId="19F80C81" w14:textId="77777777" w:rsidR="0063458A" w:rsidRPr="0063458A" w:rsidRDefault="0063458A" w:rsidP="0063458A">
      <w:pPr>
        <w:pStyle w:val="ListParagraph"/>
        <w:rPr>
          <w:rFonts w:cs="Times New Roman"/>
          <w:b w:val="0"/>
          <w:bCs w:val="0"/>
          <w:szCs w:val="24"/>
        </w:rPr>
      </w:pPr>
    </w:p>
    <w:p w14:paraId="39A9876E" w14:textId="2D0213FE" w:rsidR="0063458A" w:rsidRPr="005D41CA" w:rsidRDefault="00760F73" w:rsidP="0063458A">
      <w:pPr>
        <w:ind w:left="0" w:firstLine="0"/>
        <w:jc w:val="center"/>
        <w:rPr>
          <w:rFonts w:cs="Times New Roman"/>
          <w:szCs w:val="24"/>
        </w:rPr>
      </w:pPr>
      <w:r w:rsidRPr="005D41CA">
        <w:rPr>
          <w:rFonts w:cs="Times New Roman"/>
          <w:szCs w:val="24"/>
        </w:rPr>
        <w:t>END OF SECTION</w:t>
      </w:r>
    </w:p>
    <w:sectPr w:rsidR="0063458A" w:rsidRPr="005D41CA" w:rsidSect="00786ED6">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0FE2" w14:textId="77777777" w:rsidR="004B0F31" w:rsidRDefault="004B0F31" w:rsidP="00722BF5">
      <w:r>
        <w:separator/>
      </w:r>
    </w:p>
  </w:endnote>
  <w:endnote w:type="continuationSeparator" w:id="0">
    <w:p w14:paraId="1CB23273" w14:textId="77777777" w:rsidR="004B0F31" w:rsidRDefault="004B0F31" w:rsidP="0072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151F" w14:textId="3FE6A5F5" w:rsidR="0063458A" w:rsidRPr="0063458A" w:rsidRDefault="0063458A" w:rsidP="0063458A">
    <w:pPr>
      <w:pStyle w:val="Footer"/>
      <w:ind w:left="0" w:firstLine="0"/>
      <w:rPr>
        <w:b w:val="0"/>
        <w:bCs w:val="0"/>
        <w:sz w:val="22"/>
      </w:rPr>
    </w:pPr>
    <w:r w:rsidRPr="0063458A">
      <w:rPr>
        <w:rFonts w:cs="Times New Roman"/>
        <w:b w:val="0"/>
        <w:bCs w:val="0"/>
        <w:sz w:val="22"/>
      </w:rPr>
      <w:t>Revised 05/2023</w:t>
    </w:r>
    <w:r w:rsidRPr="0063458A">
      <w:rPr>
        <w:rFonts w:cs="Times New Roman"/>
        <w:b w:val="0"/>
        <w:bCs w:val="0"/>
        <w:sz w:val="22"/>
      </w:rPr>
      <w:tab/>
      <w:t>S</w:t>
    </w:r>
    <w:r>
      <w:rPr>
        <w:rFonts w:cs="Times New Roman"/>
        <w:b w:val="0"/>
        <w:bCs w:val="0"/>
        <w:sz w:val="22"/>
      </w:rPr>
      <w:t>ection</w:t>
    </w:r>
    <w:r w:rsidRPr="0063458A">
      <w:rPr>
        <w:rFonts w:cs="Times New Roman"/>
        <w:b w:val="0"/>
        <w:bCs w:val="0"/>
        <w:sz w:val="22"/>
      </w:rPr>
      <w:t xml:space="preserve"> 01</w:t>
    </w:r>
    <w:r>
      <w:rPr>
        <w:rFonts w:cs="Times New Roman"/>
        <w:b w:val="0"/>
        <w:bCs w:val="0"/>
        <w:sz w:val="22"/>
      </w:rPr>
      <w:t>0</w:t>
    </w:r>
    <w:r w:rsidRPr="0063458A">
      <w:rPr>
        <w:rFonts w:cs="Times New Roman"/>
        <w:b w:val="0"/>
        <w:bCs w:val="0"/>
        <w:sz w:val="22"/>
      </w:rPr>
      <w:t>00</w:t>
    </w:r>
    <w:r w:rsidRPr="0063458A">
      <w:rPr>
        <w:rFonts w:cs="Times New Roman"/>
        <w:b w:val="0"/>
        <w:bCs w:val="0"/>
        <w:sz w:val="22"/>
      </w:rPr>
      <w:tab/>
    </w:r>
    <w:r w:rsidRPr="0063458A">
      <w:rPr>
        <w:b w:val="0"/>
        <w:bCs w:val="0"/>
        <w:sz w:val="22"/>
      </w:rPr>
      <w:t xml:space="preserve">Page </w:t>
    </w:r>
    <w:sdt>
      <w:sdtPr>
        <w:rPr>
          <w:b w:val="0"/>
          <w:bCs w:val="0"/>
          <w:sz w:val="22"/>
        </w:rPr>
        <w:id w:val="-1106498964"/>
        <w:docPartObj>
          <w:docPartGallery w:val="Page Numbers (Bottom of Page)"/>
          <w:docPartUnique/>
        </w:docPartObj>
      </w:sdtPr>
      <w:sdtEndPr>
        <w:rPr>
          <w:noProof/>
        </w:rPr>
      </w:sdtEndPr>
      <w:sdtContent>
        <w:r w:rsidRPr="0063458A">
          <w:rPr>
            <w:b w:val="0"/>
            <w:bCs w:val="0"/>
            <w:sz w:val="22"/>
          </w:rPr>
          <w:fldChar w:fldCharType="begin"/>
        </w:r>
        <w:r w:rsidRPr="0063458A">
          <w:rPr>
            <w:b w:val="0"/>
            <w:bCs w:val="0"/>
            <w:sz w:val="22"/>
          </w:rPr>
          <w:instrText xml:space="preserve"> PAGE   \* MERGEFORMAT </w:instrText>
        </w:r>
        <w:r w:rsidRPr="0063458A">
          <w:rPr>
            <w:b w:val="0"/>
            <w:bCs w:val="0"/>
            <w:sz w:val="22"/>
          </w:rPr>
          <w:fldChar w:fldCharType="separate"/>
        </w:r>
        <w:r>
          <w:rPr>
            <w:b w:val="0"/>
            <w:bCs w:val="0"/>
          </w:rPr>
          <w:t>1</w:t>
        </w:r>
        <w:r w:rsidRPr="0063458A">
          <w:rPr>
            <w:b w:val="0"/>
            <w:bCs w:val="0"/>
            <w:noProof/>
            <w:sz w:val="22"/>
          </w:rPr>
          <w:fldChar w:fldCharType="end"/>
        </w:r>
      </w:sdtContent>
    </w:sdt>
  </w:p>
  <w:p w14:paraId="6D383072" w14:textId="4E52FFB1" w:rsidR="004B0F31" w:rsidRPr="0063458A" w:rsidRDefault="004B0F31" w:rsidP="0063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303E" w14:textId="77777777" w:rsidR="004B0F31" w:rsidRDefault="004B0F31" w:rsidP="00722BF5">
      <w:r>
        <w:separator/>
      </w:r>
    </w:p>
  </w:footnote>
  <w:footnote w:type="continuationSeparator" w:id="0">
    <w:p w14:paraId="32476B89" w14:textId="77777777" w:rsidR="004B0F31" w:rsidRDefault="004B0F31" w:rsidP="0072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28"/>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 w15:restartNumberingAfterBreak="0">
    <w:nsid w:val="0C484BDA"/>
    <w:multiLevelType w:val="multilevel"/>
    <w:tmpl w:val="971C74B4"/>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 w15:restartNumberingAfterBreak="0">
    <w:nsid w:val="18B93636"/>
    <w:multiLevelType w:val="multilevel"/>
    <w:tmpl w:val="C6844916"/>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3" w15:restartNumberingAfterBreak="0">
    <w:nsid w:val="1CF10C3A"/>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4" w15:restartNumberingAfterBreak="0">
    <w:nsid w:val="247F515A"/>
    <w:multiLevelType w:val="multilevel"/>
    <w:tmpl w:val="26F05342"/>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pStyle w:val="Heading3"/>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5" w15:restartNumberingAfterBreak="0">
    <w:nsid w:val="339E6DB9"/>
    <w:multiLevelType w:val="multilevel"/>
    <w:tmpl w:val="51B62C28"/>
    <w:lvl w:ilvl="0">
      <w:start w:val="1"/>
      <w:numFmt w:val="decimal"/>
      <w:lvlText w:val="PART %1"/>
      <w:lvlJc w:val="left"/>
      <w:pPr>
        <w:ind w:left="840" w:hanging="720"/>
      </w:pPr>
    </w:lvl>
    <w:lvl w:ilvl="1">
      <w:start w:val="1"/>
      <w:numFmt w:val="decimal"/>
      <w:pStyle w:val="Heading2"/>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6" w15:restartNumberingAfterBreak="0">
    <w:nsid w:val="56664ECA"/>
    <w:multiLevelType w:val="multilevel"/>
    <w:tmpl w:val="760C3E3A"/>
    <w:lvl w:ilvl="0">
      <w:start w:val="1"/>
      <w:numFmt w:val="decimal"/>
      <w:pStyle w:val="Heading1"/>
      <w:lvlText w:val="PART %1"/>
      <w:lvlJc w:val="left"/>
      <w:pPr>
        <w:ind w:left="840" w:hanging="720"/>
      </w:p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7" w15:restartNumberingAfterBreak="0">
    <w:nsid w:val="5AA8267C"/>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8" w15:restartNumberingAfterBreak="0">
    <w:nsid w:val="6B852138"/>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9" w15:restartNumberingAfterBreak="0">
    <w:nsid w:val="6BC653CA"/>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0" w15:restartNumberingAfterBreak="0">
    <w:nsid w:val="781E73E8"/>
    <w:multiLevelType w:val="multilevel"/>
    <w:tmpl w:val="971C74B4"/>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num w:numId="1" w16cid:durableId="1433278011">
    <w:abstractNumId w:val="10"/>
  </w:num>
  <w:num w:numId="2" w16cid:durableId="937060418">
    <w:abstractNumId w:val="9"/>
  </w:num>
  <w:num w:numId="3" w16cid:durableId="484049423">
    <w:abstractNumId w:val="2"/>
  </w:num>
  <w:num w:numId="4" w16cid:durableId="433285058">
    <w:abstractNumId w:val="8"/>
  </w:num>
  <w:num w:numId="5" w16cid:durableId="758065474">
    <w:abstractNumId w:val="0"/>
  </w:num>
  <w:num w:numId="6" w16cid:durableId="1357077063">
    <w:abstractNumId w:val="3"/>
  </w:num>
  <w:num w:numId="7" w16cid:durableId="1013188772">
    <w:abstractNumId w:val="5"/>
  </w:num>
  <w:num w:numId="8" w16cid:durableId="531382229">
    <w:abstractNumId w:val="1"/>
  </w:num>
  <w:num w:numId="9" w16cid:durableId="1874152488">
    <w:abstractNumId w:val="6"/>
  </w:num>
  <w:num w:numId="10" w16cid:durableId="565647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9563259">
    <w:abstractNumId w:val="4"/>
  </w:num>
  <w:num w:numId="12" w16cid:durableId="192460748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8A"/>
    <w:rsid w:val="0001315A"/>
    <w:rsid w:val="00031665"/>
    <w:rsid w:val="000362B1"/>
    <w:rsid w:val="00042D3E"/>
    <w:rsid w:val="00043C17"/>
    <w:rsid w:val="00084D93"/>
    <w:rsid w:val="0009768A"/>
    <w:rsid w:val="000A2C7A"/>
    <w:rsid w:val="000B7EC0"/>
    <w:rsid w:val="000D4E16"/>
    <w:rsid w:val="000F1A59"/>
    <w:rsid w:val="00112D31"/>
    <w:rsid w:val="0013161C"/>
    <w:rsid w:val="001353B8"/>
    <w:rsid w:val="001A5901"/>
    <w:rsid w:val="001C264C"/>
    <w:rsid w:val="001D0B9A"/>
    <w:rsid w:val="001D1B8C"/>
    <w:rsid w:val="00207608"/>
    <w:rsid w:val="00214D07"/>
    <w:rsid w:val="00240BA0"/>
    <w:rsid w:val="00244A5A"/>
    <w:rsid w:val="00256A31"/>
    <w:rsid w:val="00260FC0"/>
    <w:rsid w:val="002776D1"/>
    <w:rsid w:val="002B4BC3"/>
    <w:rsid w:val="002C41BC"/>
    <w:rsid w:val="002D0ABB"/>
    <w:rsid w:val="002D555A"/>
    <w:rsid w:val="002F188D"/>
    <w:rsid w:val="00325541"/>
    <w:rsid w:val="00345E23"/>
    <w:rsid w:val="00362321"/>
    <w:rsid w:val="00367FE2"/>
    <w:rsid w:val="00375B8D"/>
    <w:rsid w:val="003B7C06"/>
    <w:rsid w:val="004016DF"/>
    <w:rsid w:val="00420B17"/>
    <w:rsid w:val="00440C99"/>
    <w:rsid w:val="00467672"/>
    <w:rsid w:val="004738FF"/>
    <w:rsid w:val="004779EE"/>
    <w:rsid w:val="004A5023"/>
    <w:rsid w:val="004B0F31"/>
    <w:rsid w:val="004C1239"/>
    <w:rsid w:val="004D6F23"/>
    <w:rsid w:val="004F2927"/>
    <w:rsid w:val="00515A6A"/>
    <w:rsid w:val="0052282F"/>
    <w:rsid w:val="00522BBD"/>
    <w:rsid w:val="00526B7F"/>
    <w:rsid w:val="005524BD"/>
    <w:rsid w:val="00570315"/>
    <w:rsid w:val="00581955"/>
    <w:rsid w:val="00590112"/>
    <w:rsid w:val="00591F6A"/>
    <w:rsid w:val="00594CAE"/>
    <w:rsid w:val="005B399E"/>
    <w:rsid w:val="005D41CA"/>
    <w:rsid w:val="005D67B7"/>
    <w:rsid w:val="005E5659"/>
    <w:rsid w:val="005F6654"/>
    <w:rsid w:val="005F7F9E"/>
    <w:rsid w:val="0063458A"/>
    <w:rsid w:val="0068724D"/>
    <w:rsid w:val="00692049"/>
    <w:rsid w:val="00696D4C"/>
    <w:rsid w:val="006C6CB8"/>
    <w:rsid w:val="006D1A9B"/>
    <w:rsid w:val="006D365D"/>
    <w:rsid w:val="007106A8"/>
    <w:rsid w:val="00722BF5"/>
    <w:rsid w:val="00734FF0"/>
    <w:rsid w:val="00742C99"/>
    <w:rsid w:val="00750C32"/>
    <w:rsid w:val="00760F73"/>
    <w:rsid w:val="00767DBA"/>
    <w:rsid w:val="00786ED6"/>
    <w:rsid w:val="007A44A2"/>
    <w:rsid w:val="007C5270"/>
    <w:rsid w:val="007C7EDE"/>
    <w:rsid w:val="00825C48"/>
    <w:rsid w:val="00832211"/>
    <w:rsid w:val="0087563D"/>
    <w:rsid w:val="008758B6"/>
    <w:rsid w:val="008C4842"/>
    <w:rsid w:val="008D529F"/>
    <w:rsid w:val="008E1ED4"/>
    <w:rsid w:val="0090341A"/>
    <w:rsid w:val="00907A8A"/>
    <w:rsid w:val="00922124"/>
    <w:rsid w:val="0093481D"/>
    <w:rsid w:val="009375FA"/>
    <w:rsid w:val="009439FE"/>
    <w:rsid w:val="00962135"/>
    <w:rsid w:val="00972038"/>
    <w:rsid w:val="00972E3C"/>
    <w:rsid w:val="009A3003"/>
    <w:rsid w:val="009B3CF4"/>
    <w:rsid w:val="00A360BC"/>
    <w:rsid w:val="00A44C3E"/>
    <w:rsid w:val="00A4551A"/>
    <w:rsid w:val="00A57766"/>
    <w:rsid w:val="00AC3808"/>
    <w:rsid w:val="00B044B4"/>
    <w:rsid w:val="00B2398F"/>
    <w:rsid w:val="00B2767A"/>
    <w:rsid w:val="00B740F5"/>
    <w:rsid w:val="00B8416C"/>
    <w:rsid w:val="00BA337D"/>
    <w:rsid w:val="00BB736B"/>
    <w:rsid w:val="00BC3B21"/>
    <w:rsid w:val="00BD3377"/>
    <w:rsid w:val="00BD69A6"/>
    <w:rsid w:val="00C308C5"/>
    <w:rsid w:val="00C44038"/>
    <w:rsid w:val="00C45B3E"/>
    <w:rsid w:val="00C54093"/>
    <w:rsid w:val="00C729C8"/>
    <w:rsid w:val="00C822FA"/>
    <w:rsid w:val="00CC51CD"/>
    <w:rsid w:val="00CD3609"/>
    <w:rsid w:val="00CF7686"/>
    <w:rsid w:val="00D07BE3"/>
    <w:rsid w:val="00D1454D"/>
    <w:rsid w:val="00D15809"/>
    <w:rsid w:val="00D63800"/>
    <w:rsid w:val="00D85075"/>
    <w:rsid w:val="00DB4F56"/>
    <w:rsid w:val="00E0617D"/>
    <w:rsid w:val="00E20DCF"/>
    <w:rsid w:val="00E234B1"/>
    <w:rsid w:val="00E4529B"/>
    <w:rsid w:val="00E7021C"/>
    <w:rsid w:val="00E85F98"/>
    <w:rsid w:val="00E95C44"/>
    <w:rsid w:val="00EC2D4F"/>
    <w:rsid w:val="00F00C82"/>
    <w:rsid w:val="00F5238C"/>
    <w:rsid w:val="00F9727F"/>
    <w:rsid w:val="00FC1A43"/>
    <w:rsid w:val="00FF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5B3E3"/>
  <w15:chartTrackingRefBased/>
  <w15:docId w15:val="{BBDB2AF8-4910-4A62-953F-734E015C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line="276" w:lineRule="auto"/>
        <w:ind w:left="1555"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1A"/>
    <w:rPr>
      <w:rFonts w:ascii="Times New Roman" w:hAnsi="Times New Roman"/>
      <w:b/>
      <w:bCs/>
      <w:sz w:val="24"/>
    </w:rPr>
  </w:style>
  <w:style w:type="paragraph" w:styleId="Heading1">
    <w:name w:val="heading 1"/>
    <w:basedOn w:val="ListParagraph"/>
    <w:next w:val="Normal"/>
    <w:link w:val="Heading1Char"/>
    <w:autoRedefine/>
    <w:uiPriority w:val="9"/>
    <w:qFormat/>
    <w:rsid w:val="0001315A"/>
    <w:pPr>
      <w:numPr>
        <w:numId w:val="9"/>
      </w:numPr>
      <w:outlineLvl w:val="0"/>
    </w:pPr>
    <w:rPr>
      <w:sz w:val="28"/>
      <w:szCs w:val="28"/>
    </w:rPr>
  </w:style>
  <w:style w:type="paragraph" w:styleId="Heading2">
    <w:name w:val="heading 2"/>
    <w:basedOn w:val="Normal"/>
    <w:next w:val="Normal"/>
    <w:link w:val="Heading2Char"/>
    <w:autoRedefine/>
    <w:uiPriority w:val="9"/>
    <w:unhideWhenUsed/>
    <w:qFormat/>
    <w:rsid w:val="00A4551A"/>
    <w:pPr>
      <w:numPr>
        <w:ilvl w:val="1"/>
        <w:numId w:val="7"/>
      </w:numPr>
      <w:outlineLvl w:val="1"/>
    </w:pPr>
  </w:style>
  <w:style w:type="paragraph" w:styleId="Heading3">
    <w:name w:val="heading 3"/>
    <w:basedOn w:val="ListParagraph"/>
    <w:next w:val="Normal"/>
    <w:link w:val="Heading3Char"/>
    <w:uiPriority w:val="9"/>
    <w:unhideWhenUsed/>
    <w:qFormat/>
    <w:rsid w:val="005524BD"/>
    <w:pPr>
      <w:numPr>
        <w:ilvl w:val="2"/>
        <w:numId w:val="11"/>
      </w:numPr>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8A"/>
    <w:pPr>
      <w:ind w:left="720"/>
      <w:contextualSpacing/>
    </w:pPr>
  </w:style>
  <w:style w:type="paragraph" w:styleId="Header">
    <w:name w:val="header"/>
    <w:basedOn w:val="Normal"/>
    <w:link w:val="HeaderChar"/>
    <w:uiPriority w:val="99"/>
    <w:unhideWhenUsed/>
    <w:rsid w:val="004B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31"/>
  </w:style>
  <w:style w:type="paragraph" w:styleId="Footer">
    <w:name w:val="footer"/>
    <w:basedOn w:val="Normal"/>
    <w:link w:val="FooterChar"/>
    <w:uiPriority w:val="99"/>
    <w:unhideWhenUsed/>
    <w:rsid w:val="004B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31"/>
  </w:style>
  <w:style w:type="paragraph" w:styleId="BalloonText">
    <w:name w:val="Balloon Text"/>
    <w:basedOn w:val="Normal"/>
    <w:link w:val="BalloonTextChar"/>
    <w:uiPriority w:val="99"/>
    <w:semiHidden/>
    <w:unhideWhenUsed/>
    <w:rsid w:val="0078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D6"/>
    <w:rPr>
      <w:rFonts w:ascii="Segoe UI" w:hAnsi="Segoe UI" w:cs="Segoe UI"/>
      <w:sz w:val="18"/>
      <w:szCs w:val="18"/>
    </w:rPr>
  </w:style>
  <w:style w:type="paragraph" w:styleId="Revision">
    <w:name w:val="Revision"/>
    <w:hidden/>
    <w:uiPriority w:val="99"/>
    <w:semiHidden/>
    <w:rsid w:val="00F9727F"/>
    <w:pPr>
      <w:spacing w:after="0" w:line="240" w:lineRule="auto"/>
    </w:pPr>
  </w:style>
  <w:style w:type="character" w:customStyle="1" w:styleId="Heading1Char">
    <w:name w:val="Heading 1 Char"/>
    <w:basedOn w:val="DefaultParagraphFont"/>
    <w:link w:val="Heading1"/>
    <w:uiPriority w:val="9"/>
    <w:rsid w:val="0001315A"/>
    <w:rPr>
      <w:rFonts w:ascii="Times New Roman" w:hAnsi="Times New Roman"/>
      <w:b/>
      <w:bCs/>
      <w:sz w:val="28"/>
      <w:szCs w:val="28"/>
    </w:rPr>
  </w:style>
  <w:style w:type="character" w:customStyle="1" w:styleId="Heading2Char">
    <w:name w:val="Heading 2 Char"/>
    <w:basedOn w:val="DefaultParagraphFont"/>
    <w:link w:val="Heading2"/>
    <w:uiPriority w:val="9"/>
    <w:rsid w:val="00A4551A"/>
    <w:rPr>
      <w:rFonts w:ascii="Times New Roman" w:hAnsi="Times New Roman"/>
      <w:b/>
      <w:bCs/>
      <w:sz w:val="24"/>
    </w:rPr>
  </w:style>
  <w:style w:type="character" w:customStyle="1" w:styleId="Heading3Char">
    <w:name w:val="Heading 3 Char"/>
    <w:basedOn w:val="DefaultParagraphFont"/>
    <w:link w:val="Heading3"/>
    <w:uiPriority w:val="9"/>
    <w:rsid w:val="005524BD"/>
    <w:rPr>
      <w:rFonts w:ascii="Times New Roman" w:hAnsi="Times New Roman"/>
      <w:sz w:val="24"/>
    </w:rPr>
  </w:style>
  <w:style w:type="paragraph" w:styleId="NoSpacing">
    <w:name w:val="No Spacing"/>
    <w:uiPriority w:val="1"/>
    <w:qFormat/>
    <w:rsid w:val="004D6F23"/>
    <w:pPr>
      <w:spacing w:after="0" w:line="240" w:lineRule="auto"/>
      <w:ind w:left="810"/>
    </w:pPr>
    <w:rPr>
      <w:rFonts w:ascii="Times New Roman" w:hAnsi="Times New Roman"/>
      <w:sz w:val="24"/>
    </w:rPr>
  </w:style>
  <w:style w:type="paragraph" w:styleId="BodyTextIndent">
    <w:name w:val="Body Text Indent"/>
    <w:basedOn w:val="Normal"/>
    <w:link w:val="BodyTextIndentChar"/>
    <w:rsid w:val="00760F73"/>
    <w:pPr>
      <w:widowControl w:val="0"/>
      <w:tabs>
        <w:tab w:val="left" w:pos="0"/>
        <w:tab w:val="left" w:pos="432"/>
        <w:tab w:val="left" w:pos="1008"/>
        <w:tab w:val="left" w:pos="1584"/>
        <w:tab w:val="left" w:pos="1620"/>
        <w:tab w:val="left" w:pos="2736"/>
        <w:tab w:val="left" w:pos="3312"/>
        <w:tab w:val="left" w:pos="3888"/>
        <w:tab w:val="left" w:pos="4464"/>
        <w:tab w:val="left" w:pos="5040"/>
        <w:tab w:val="left" w:pos="5616"/>
      </w:tabs>
      <w:spacing w:after="0" w:line="240" w:lineRule="auto"/>
      <w:ind w:left="1620" w:hanging="1152"/>
    </w:pPr>
    <w:rPr>
      <w:rFonts w:eastAsia="Times New Roman" w:cs="Times New Roman"/>
      <w:snapToGrid w:val="0"/>
      <w:szCs w:val="20"/>
    </w:rPr>
  </w:style>
  <w:style w:type="character" w:customStyle="1" w:styleId="BodyTextIndentChar">
    <w:name w:val="Body Text Indent Char"/>
    <w:basedOn w:val="DefaultParagraphFont"/>
    <w:link w:val="BodyTextIndent"/>
    <w:rsid w:val="00760F73"/>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760F73"/>
    <w:pPr>
      <w:widowControl w:val="0"/>
      <w:tabs>
        <w:tab w:val="left" w:pos="0"/>
        <w:tab w:val="left" w:pos="432"/>
        <w:tab w:val="left" w:pos="1080"/>
        <w:tab w:val="left" w:pos="1620"/>
        <w:tab w:val="left" w:pos="3888"/>
        <w:tab w:val="left" w:pos="4464"/>
        <w:tab w:val="left" w:pos="5040"/>
        <w:tab w:val="left" w:pos="5616"/>
      </w:tabs>
      <w:spacing w:after="0" w:line="230" w:lineRule="auto"/>
      <w:ind w:left="1620" w:hanging="1512"/>
    </w:pPr>
    <w:rPr>
      <w:rFonts w:eastAsia="Times New Roman" w:cs="Times New Roman"/>
      <w:snapToGrid w:val="0"/>
      <w:szCs w:val="20"/>
    </w:rPr>
  </w:style>
  <w:style w:type="character" w:customStyle="1" w:styleId="BodyTextIndent3Char">
    <w:name w:val="Body Text Indent 3 Char"/>
    <w:basedOn w:val="DefaultParagraphFont"/>
    <w:link w:val="BodyTextIndent3"/>
    <w:rsid w:val="00760F73"/>
    <w:rPr>
      <w:rFonts w:ascii="Times New Roman" w:eastAsia="Times New Roman" w:hAnsi="Times New Roman" w:cs="Times New Roman"/>
      <w:snapToGrid w:val="0"/>
      <w:sz w:val="24"/>
      <w:szCs w:val="20"/>
    </w:rPr>
  </w:style>
  <w:style w:type="character" w:styleId="SubtleEmphasis">
    <w:name w:val="Subtle Emphasis"/>
    <w:basedOn w:val="DefaultParagraphFont"/>
    <w:uiPriority w:val="19"/>
    <w:qFormat/>
    <w:rsid w:val="00760F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E934-97A8-4C00-AAAB-08486943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Culbertson</cp:lastModifiedBy>
  <cp:revision>6</cp:revision>
  <cp:lastPrinted>2017-12-19T19:04:00Z</cp:lastPrinted>
  <dcterms:created xsi:type="dcterms:W3CDTF">2023-05-01T17:24:00Z</dcterms:created>
  <dcterms:modified xsi:type="dcterms:W3CDTF">2023-05-05T13:05:00Z</dcterms:modified>
</cp:coreProperties>
</file>